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6409"/>
      </w:tblGrid>
      <w:tr w:rsidR="004015CE" w:rsidRPr="00EC0C27" w:rsidTr="00ED75D2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CE" w:rsidRPr="00EC0C27" w:rsidRDefault="004015CE" w:rsidP="00ED75D2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left"/>
              <w:textAlignment w:val="baseline"/>
              <w:outlineLvl w:val="0"/>
              <w:rPr>
                <w:rFonts w:ascii="Cambria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EC0C27">
              <w:rPr>
                <w:rFonts w:ascii="Garamond" w:hAnsi="Garamond" w:cs="Arial"/>
                <w:b/>
                <w:bCs/>
                <w:noProof/>
                <w:color w:val="000080"/>
                <w:sz w:val="28"/>
                <w:szCs w:val="28"/>
                <w:lang w:eastAsia="it-IT"/>
              </w:rPr>
              <w:drawing>
                <wp:inline distT="0" distB="0" distL="0" distR="0" wp14:anchorId="0AA5925B" wp14:editId="0CEC5A78">
                  <wp:extent cx="1647821" cy="952503"/>
                  <wp:effectExtent l="0" t="0" r="0" b="0"/>
                  <wp:docPr id="1" name="Immagine 4" descr="ATS_Montag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1" cy="95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5CE" w:rsidRPr="00EC0C27" w:rsidRDefault="004015CE" w:rsidP="00ED75D2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left"/>
              <w:textAlignment w:val="baseline"/>
              <w:outlineLvl w:val="0"/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</w:pPr>
          </w:p>
          <w:p w:rsidR="004015CE" w:rsidRPr="00EC0C27" w:rsidRDefault="004015CE" w:rsidP="00ED75D2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left"/>
              <w:textAlignment w:val="baseline"/>
              <w:outlineLvl w:val="0"/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</w:pPr>
          </w:p>
          <w:p w:rsidR="004015CE" w:rsidRPr="00EC0C27" w:rsidRDefault="004015CE" w:rsidP="00ED75D2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right"/>
              <w:textAlignment w:val="baseline"/>
              <w:outlineLvl w:val="0"/>
              <w:rPr>
                <w:rFonts w:ascii="Cambria" w:hAnsi="Cambria" w:cs="Times New Roman"/>
                <w:b/>
                <w:bCs/>
                <w:color w:val="365F91"/>
                <w:sz w:val="28"/>
                <w:szCs w:val="28"/>
              </w:rPr>
            </w:pPr>
            <w:r w:rsidRPr="00EC0C27"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  <w:t>Nucleo di Valutazione dell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  <w:t>e</w:t>
            </w:r>
            <w:r w:rsidRPr="00EC0C27"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  <w:t xml:space="preserve"> Performance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  <w:t>/Prestazioni</w:t>
            </w:r>
          </w:p>
          <w:p w:rsidR="004015CE" w:rsidRPr="00EC0C27" w:rsidRDefault="004015CE" w:rsidP="00ED75D2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after="0" w:line="240" w:lineRule="auto"/>
              <w:jc w:val="left"/>
              <w:textAlignment w:val="baseline"/>
              <w:outlineLvl w:val="0"/>
              <w:rPr>
                <w:rFonts w:ascii="Calibri" w:hAnsi="Calibri" w:cs="Calibri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D65320" w:rsidRDefault="00D65320" w:rsidP="00D60839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6"/>
        </w:tabs>
        <w:suppressAutoHyphens w:val="0"/>
        <w:autoSpaceDE w:val="0"/>
        <w:autoSpaceDN w:val="0"/>
        <w:adjustRightInd w:val="0"/>
        <w:spacing w:before="120" w:after="0" w:line="240" w:lineRule="auto"/>
        <w:jc w:val="center"/>
        <w:rPr>
          <w:rFonts w:ascii="Garamond" w:hAnsi="Garamond"/>
          <w:b/>
        </w:rPr>
      </w:pPr>
    </w:p>
    <w:p w:rsidR="00D60839" w:rsidRPr="0021429D" w:rsidRDefault="00D60839" w:rsidP="00D60839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6"/>
        </w:tabs>
        <w:suppressAutoHyphens w:val="0"/>
        <w:autoSpaceDE w:val="0"/>
        <w:autoSpaceDN w:val="0"/>
        <w:adjustRightInd w:val="0"/>
        <w:spacing w:before="120"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21429D">
        <w:rPr>
          <w:rFonts w:ascii="Garamond" w:hAnsi="Garamond"/>
          <w:b/>
          <w:sz w:val="28"/>
          <w:szCs w:val="28"/>
        </w:rPr>
        <w:t xml:space="preserve">Scheda di sintesi sulla rilevazione </w:t>
      </w:r>
      <w:r w:rsidR="0021429D" w:rsidRPr="0021429D">
        <w:rPr>
          <w:rFonts w:ascii="Garamond" w:hAnsi="Garamond"/>
          <w:b/>
          <w:sz w:val="28"/>
          <w:szCs w:val="28"/>
        </w:rPr>
        <w:t>del Nucleo di Valutazione delle Performance/Prestazioni (O.I.V.)</w:t>
      </w:r>
    </w:p>
    <w:p w:rsidR="00D60839" w:rsidRPr="009C6FAC" w:rsidRDefault="00D60839" w:rsidP="00D60839">
      <w:pPr>
        <w:pStyle w:val="Paragrafoelenco"/>
        <w:ind w:left="0" w:firstLine="0"/>
        <w:rPr>
          <w:rFonts w:ascii="Garamond" w:hAnsi="Garamond"/>
        </w:rPr>
      </w:pPr>
    </w:p>
    <w:p w:rsidR="0021429D" w:rsidRDefault="0021429D" w:rsidP="00124DAA">
      <w:pPr>
        <w:pStyle w:val="Paragrafoelenco"/>
        <w:spacing w:after="0" w:line="276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Premessa </w:t>
      </w:r>
    </w:p>
    <w:p w:rsidR="0021429D" w:rsidRDefault="0021429D" w:rsidP="00124DAA">
      <w:pPr>
        <w:pStyle w:val="Paragrafoelenco"/>
        <w:spacing w:after="0" w:line="276" w:lineRule="auto"/>
        <w:ind w:left="0" w:firstLine="0"/>
        <w:rPr>
          <w:rFonts w:ascii="Garamond" w:hAnsi="Garamond" w:cs="Times New Roman"/>
        </w:rPr>
      </w:pPr>
    </w:p>
    <w:p w:rsidR="00D65320" w:rsidRDefault="00D65320" w:rsidP="00124DAA">
      <w:pPr>
        <w:pStyle w:val="Paragrafoelenco"/>
        <w:spacing w:after="0" w:line="276" w:lineRule="auto"/>
        <w:ind w:left="0" w:firstLine="0"/>
        <w:rPr>
          <w:rFonts w:ascii="Garamond" w:hAnsi="Garamond" w:cs="Times New Roman"/>
        </w:rPr>
      </w:pPr>
      <w:r w:rsidRPr="00C066B4">
        <w:rPr>
          <w:rFonts w:ascii="Garamond" w:hAnsi="Garamond" w:cs="Times New Roman"/>
        </w:rPr>
        <w:t>Il Nucleo di Valutazione delle Performance/Prestazioni dell’ATS della Montagna, nominato con deliberazione n. 603 del 22 dicembre 2016,</w:t>
      </w:r>
      <w:r>
        <w:rPr>
          <w:rFonts w:ascii="Garamond" w:hAnsi="Garamond" w:cs="Times New Roman"/>
        </w:rPr>
        <w:t xml:space="preserve"> dà atto che:</w:t>
      </w:r>
    </w:p>
    <w:p w:rsidR="00D65320" w:rsidRPr="00D65320" w:rsidRDefault="00D65320" w:rsidP="00124DAA">
      <w:pPr>
        <w:pStyle w:val="Paragrafoelenco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left="357" w:hanging="357"/>
        <w:rPr>
          <w:rFonts w:ascii="Garamond" w:eastAsiaTheme="minorEastAsia" w:hAnsi="Garamond" w:cs="Garamond"/>
          <w:lang w:eastAsia="it-IT"/>
        </w:rPr>
      </w:pPr>
      <w:r w:rsidRPr="00D65320">
        <w:rPr>
          <w:rFonts w:ascii="Garamond" w:eastAsiaTheme="minorEastAsia" w:hAnsi="Garamond" w:cs="Garamond"/>
          <w:lang w:eastAsia="it-IT"/>
        </w:rPr>
        <w:t>con la L</w:t>
      </w:r>
      <w:r>
        <w:rPr>
          <w:rFonts w:ascii="Garamond" w:eastAsiaTheme="minorEastAsia" w:hAnsi="Garamond" w:cs="Garamond"/>
          <w:lang w:eastAsia="it-IT"/>
        </w:rPr>
        <w:t>.</w:t>
      </w:r>
      <w:r w:rsidRPr="00D65320">
        <w:rPr>
          <w:rFonts w:ascii="Garamond" w:eastAsiaTheme="minorEastAsia" w:hAnsi="Garamond" w:cs="Garamond"/>
          <w:lang w:eastAsia="it-IT"/>
        </w:rPr>
        <w:t>R</w:t>
      </w:r>
      <w:r>
        <w:rPr>
          <w:rFonts w:ascii="Garamond" w:eastAsiaTheme="minorEastAsia" w:hAnsi="Garamond" w:cs="Garamond"/>
          <w:lang w:eastAsia="it-IT"/>
        </w:rPr>
        <w:t>.</w:t>
      </w:r>
      <w:r w:rsidRPr="00D65320">
        <w:rPr>
          <w:rFonts w:ascii="Garamond" w:eastAsiaTheme="minorEastAsia" w:hAnsi="Garamond" w:cs="Garamond"/>
          <w:lang w:eastAsia="it-IT"/>
        </w:rPr>
        <w:t xml:space="preserve"> 11 agosto 2015, n. 23 di evoluzione del sistema socio sanitario lombardo sono state apportate modifiche al Titolo I e al Titolo II della LR 30 dicembre 2009 n. 33 (Testo unico delle leggi regionali in materia di sanità), prevedendo nuovi soggetti giuridici (Agenzie per la tutela della salute – ATS; Aziende Socio Sanitarie Territoriali – ASST; Agenzie</w:t>
      </w:r>
      <w:r>
        <w:rPr>
          <w:rFonts w:ascii="Garamond" w:eastAsiaTheme="minorEastAsia" w:hAnsi="Garamond" w:cs="Garamond"/>
          <w:lang w:eastAsia="it-IT"/>
        </w:rPr>
        <w:t>/Aziende</w:t>
      </w:r>
      <w:r w:rsidRPr="00D65320">
        <w:rPr>
          <w:rFonts w:ascii="Garamond" w:eastAsiaTheme="minorEastAsia" w:hAnsi="Garamond" w:cs="Garamond"/>
          <w:lang w:eastAsia="it-IT"/>
        </w:rPr>
        <w:t xml:space="preserve"> per la promozione e per il controllo del sistema socio sanitario lombardo);</w:t>
      </w:r>
    </w:p>
    <w:p w:rsidR="00CB75C1" w:rsidRPr="00CB75C1" w:rsidRDefault="00D65320" w:rsidP="00124DAA">
      <w:pPr>
        <w:pStyle w:val="Paragrafoelenco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left="357" w:hanging="357"/>
        <w:rPr>
          <w:rFonts w:ascii="Garamond" w:eastAsiaTheme="minorEastAsia" w:hAnsi="Garamond" w:cs="Garamond"/>
          <w:lang w:eastAsia="it-IT"/>
        </w:rPr>
      </w:pPr>
      <w:r w:rsidRPr="00CB75C1">
        <w:rPr>
          <w:rFonts w:ascii="Garamond" w:eastAsiaTheme="minorEastAsia" w:hAnsi="Garamond" w:cs="Garamond"/>
          <w:lang w:eastAsia="it-IT"/>
        </w:rPr>
        <w:t xml:space="preserve">L’ATS della Montagna è costituita a partire dal 1° gennaio 2016, con deliberazione di Giunta Regionale n. X/4471 del 10.12.2015, con sede legale in Sondrio, Via N. Sauro n. 38 e </w:t>
      </w:r>
      <w:r w:rsidR="00CB75C1" w:rsidRPr="00CB75C1">
        <w:rPr>
          <w:rFonts w:ascii="Garamond" w:eastAsiaTheme="minorEastAsia" w:hAnsi="Garamond" w:cs="Garamond"/>
          <w:lang w:eastAsia="it-IT"/>
        </w:rPr>
        <w:t xml:space="preserve">con sedi operative presso la sede della ASST della </w:t>
      </w:r>
      <w:proofErr w:type="spellStart"/>
      <w:r w:rsidR="00CB75C1" w:rsidRPr="00CB75C1">
        <w:rPr>
          <w:rFonts w:ascii="Garamond" w:eastAsiaTheme="minorEastAsia" w:hAnsi="Garamond" w:cs="Garamond"/>
          <w:lang w:eastAsia="it-IT"/>
        </w:rPr>
        <w:t>Vallecamonica</w:t>
      </w:r>
      <w:proofErr w:type="spellEnd"/>
      <w:r w:rsidR="00CB75C1" w:rsidRPr="00CB75C1">
        <w:rPr>
          <w:rFonts w:ascii="Garamond" w:eastAsiaTheme="minorEastAsia" w:hAnsi="Garamond" w:cs="Garamond"/>
          <w:lang w:eastAsia="it-IT"/>
        </w:rPr>
        <w:t xml:space="preserve"> e della ASST della Valtellina e dell’Alto Lario </w:t>
      </w:r>
      <w:r w:rsidRPr="00CB75C1">
        <w:rPr>
          <w:rFonts w:ascii="Garamond" w:eastAsiaTheme="minorEastAsia" w:hAnsi="Garamond" w:cs="Garamond"/>
          <w:lang w:eastAsia="it-IT"/>
        </w:rPr>
        <w:t>ed identificata con Codice Fiscale e Partita Iva n. 00988200143;</w:t>
      </w:r>
      <w:r w:rsidR="00CB75C1" w:rsidRPr="00CB75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4E715A" w:rsidRPr="00FD2998" w:rsidRDefault="00D65320" w:rsidP="00124DAA">
      <w:pPr>
        <w:pStyle w:val="Paragrafoelenco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ind w:left="357" w:hanging="357"/>
        <w:rPr>
          <w:rFonts w:ascii="Garamond" w:eastAsiaTheme="minorEastAsia" w:hAnsi="Garamond" w:cs="Garamond"/>
          <w:lang w:eastAsia="it-IT"/>
        </w:rPr>
      </w:pPr>
      <w:r w:rsidRPr="004E715A">
        <w:rPr>
          <w:rFonts w:ascii="Garamond" w:eastAsiaTheme="minorEastAsia" w:hAnsi="Garamond" w:cs="Garamond"/>
          <w:lang w:eastAsia="it-IT"/>
        </w:rPr>
        <w:t xml:space="preserve">con deliberazione n. </w:t>
      </w:r>
      <w:r w:rsidR="002C6AF3" w:rsidRPr="004E715A">
        <w:rPr>
          <w:rFonts w:ascii="Garamond" w:eastAsiaTheme="minorEastAsia" w:hAnsi="Garamond" w:cs="Garamond"/>
          <w:lang w:eastAsia="it-IT"/>
        </w:rPr>
        <w:t>2</w:t>
      </w:r>
      <w:r w:rsidRPr="004E715A">
        <w:rPr>
          <w:rFonts w:ascii="Garamond" w:eastAsiaTheme="minorEastAsia" w:hAnsi="Garamond" w:cs="Garamond"/>
          <w:lang w:eastAsia="it-IT"/>
        </w:rPr>
        <w:t>8 in data 2</w:t>
      </w:r>
      <w:r w:rsidR="002C6AF3" w:rsidRPr="004E715A">
        <w:rPr>
          <w:rFonts w:ascii="Garamond" w:eastAsiaTheme="minorEastAsia" w:hAnsi="Garamond" w:cs="Garamond"/>
          <w:lang w:eastAsia="it-IT"/>
        </w:rPr>
        <w:t>7</w:t>
      </w:r>
      <w:r w:rsidRPr="004E715A">
        <w:rPr>
          <w:rFonts w:ascii="Garamond" w:eastAsiaTheme="minorEastAsia" w:hAnsi="Garamond" w:cs="Garamond"/>
          <w:lang w:eastAsia="it-IT"/>
        </w:rPr>
        <w:t>.</w:t>
      </w:r>
      <w:r w:rsidR="002C6AF3" w:rsidRPr="004E715A">
        <w:rPr>
          <w:rFonts w:ascii="Garamond" w:eastAsiaTheme="minorEastAsia" w:hAnsi="Garamond" w:cs="Garamond"/>
          <w:lang w:eastAsia="it-IT"/>
        </w:rPr>
        <w:t>0</w:t>
      </w:r>
      <w:r w:rsidRPr="004E715A">
        <w:rPr>
          <w:rFonts w:ascii="Garamond" w:eastAsiaTheme="minorEastAsia" w:hAnsi="Garamond" w:cs="Garamond"/>
          <w:lang w:eastAsia="it-IT"/>
        </w:rPr>
        <w:t>1.2016, il Direttore Generale dell’ATS d</w:t>
      </w:r>
      <w:r w:rsidR="002C6AF3" w:rsidRPr="004E715A">
        <w:rPr>
          <w:rFonts w:ascii="Garamond" w:eastAsiaTheme="minorEastAsia" w:hAnsi="Garamond" w:cs="Garamond"/>
          <w:lang w:eastAsia="it-IT"/>
        </w:rPr>
        <w:t>ella Montagna</w:t>
      </w:r>
      <w:r w:rsidRPr="004E715A">
        <w:rPr>
          <w:rFonts w:ascii="Garamond" w:eastAsiaTheme="minorEastAsia" w:hAnsi="Garamond" w:cs="Garamond"/>
          <w:lang w:eastAsia="it-IT"/>
        </w:rPr>
        <w:t xml:space="preserve"> ha nominato il proprio </w:t>
      </w:r>
      <w:r w:rsidR="002C6AF3" w:rsidRPr="004E715A">
        <w:rPr>
          <w:rFonts w:ascii="Garamond" w:eastAsiaTheme="minorEastAsia" w:hAnsi="Garamond" w:cs="Garamond"/>
          <w:lang w:eastAsia="it-IT"/>
        </w:rPr>
        <w:t>Responsabile della Prevenzione della Corruzione</w:t>
      </w:r>
      <w:r w:rsidRPr="004E715A">
        <w:rPr>
          <w:rFonts w:ascii="Garamond" w:eastAsiaTheme="minorEastAsia" w:hAnsi="Garamond" w:cs="Garamond"/>
          <w:lang w:eastAsia="it-IT"/>
        </w:rPr>
        <w:t xml:space="preserve">, accorpando in un unico soggetto anche la funzione di </w:t>
      </w:r>
      <w:r w:rsidR="002C6AF3" w:rsidRPr="004E715A">
        <w:rPr>
          <w:rFonts w:ascii="Garamond" w:eastAsiaTheme="minorEastAsia" w:hAnsi="Garamond" w:cs="Garamond"/>
          <w:lang w:eastAsia="it-IT"/>
        </w:rPr>
        <w:t>R</w:t>
      </w:r>
      <w:r w:rsidRPr="004E715A">
        <w:rPr>
          <w:rFonts w:ascii="Garamond" w:eastAsiaTheme="minorEastAsia" w:hAnsi="Garamond" w:cs="Garamond"/>
          <w:lang w:eastAsia="it-IT"/>
        </w:rPr>
        <w:t xml:space="preserve">esponsabile </w:t>
      </w:r>
      <w:r w:rsidR="002C6AF3" w:rsidRPr="004E715A">
        <w:rPr>
          <w:rFonts w:ascii="Garamond" w:eastAsiaTheme="minorEastAsia" w:hAnsi="Garamond" w:cs="Garamond"/>
          <w:lang w:eastAsia="it-IT"/>
        </w:rPr>
        <w:t>del</w:t>
      </w:r>
      <w:r w:rsidRPr="004E715A">
        <w:rPr>
          <w:rFonts w:ascii="Garamond" w:eastAsiaTheme="minorEastAsia" w:hAnsi="Garamond" w:cs="Garamond"/>
          <w:lang w:eastAsia="it-IT"/>
        </w:rPr>
        <w:t xml:space="preserve">la </w:t>
      </w:r>
      <w:r w:rsidR="002C6AF3" w:rsidRPr="004E715A">
        <w:rPr>
          <w:rFonts w:ascii="Garamond" w:eastAsiaTheme="minorEastAsia" w:hAnsi="Garamond" w:cs="Garamond"/>
          <w:lang w:eastAsia="it-IT"/>
        </w:rPr>
        <w:t>T</w:t>
      </w:r>
      <w:r w:rsidRPr="004E715A">
        <w:rPr>
          <w:rFonts w:ascii="Garamond" w:eastAsiaTheme="minorEastAsia" w:hAnsi="Garamond" w:cs="Garamond"/>
          <w:lang w:eastAsia="it-IT"/>
        </w:rPr>
        <w:t xml:space="preserve">rasparenza, confermando nella funzione il titolare al 31.12.2015 dell’incarico presso la ex ASL </w:t>
      </w:r>
      <w:r w:rsidR="002C6AF3" w:rsidRPr="004E715A">
        <w:rPr>
          <w:rFonts w:ascii="Garamond" w:eastAsiaTheme="minorEastAsia" w:hAnsi="Garamond" w:cs="Garamond"/>
          <w:lang w:eastAsia="it-IT"/>
        </w:rPr>
        <w:t>della Provincia di Sondrio</w:t>
      </w:r>
      <w:r w:rsidRPr="004E715A">
        <w:rPr>
          <w:rFonts w:ascii="Garamond" w:eastAsiaTheme="minorEastAsia" w:hAnsi="Garamond" w:cs="Garamond"/>
          <w:lang w:eastAsia="it-IT"/>
        </w:rPr>
        <w:t xml:space="preserve">, </w:t>
      </w:r>
    </w:p>
    <w:p w:rsidR="00124DAA" w:rsidRDefault="00124DAA" w:rsidP="00124DAA">
      <w:pPr>
        <w:spacing w:after="0" w:line="360" w:lineRule="auto"/>
        <w:rPr>
          <w:rFonts w:ascii="Garamond" w:hAnsi="Garamond"/>
          <w:b/>
          <w:i/>
        </w:rPr>
      </w:pPr>
    </w:p>
    <w:p w:rsidR="004015CE" w:rsidRDefault="004015CE" w:rsidP="00124DAA">
      <w:pPr>
        <w:spacing w:after="0" w:line="360" w:lineRule="auto"/>
        <w:rPr>
          <w:rFonts w:ascii="Garamond" w:hAnsi="Garamond"/>
          <w:b/>
          <w:u w:val="single"/>
        </w:rPr>
      </w:pPr>
      <w:r w:rsidRPr="004015CE">
        <w:rPr>
          <w:rFonts w:ascii="Garamond" w:hAnsi="Garamond"/>
          <w:b/>
          <w:i/>
        </w:rPr>
        <w:t xml:space="preserve">Data di svolgimento della rilevazione:  </w:t>
      </w:r>
      <w:r w:rsidRPr="004015CE">
        <w:rPr>
          <w:rFonts w:ascii="Garamond" w:hAnsi="Garamond"/>
          <w:b/>
          <w:u w:val="single"/>
        </w:rPr>
        <w:t>31/03/2017</w:t>
      </w:r>
    </w:p>
    <w:p w:rsidR="00124DAA" w:rsidRDefault="00124DAA" w:rsidP="00124DAA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ind w:left="0" w:firstLine="0"/>
        <w:rPr>
          <w:rFonts w:ascii="Garamond" w:hAnsi="Garamond"/>
          <w:b/>
          <w:i/>
        </w:rPr>
      </w:pPr>
    </w:p>
    <w:p w:rsidR="004E715A" w:rsidRDefault="00D60839" w:rsidP="00124DAA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ammini</w:t>
      </w:r>
      <w:r>
        <w:rPr>
          <w:rFonts w:ascii="Garamond" w:hAnsi="Garamond"/>
          <w:b/>
          <w:i/>
        </w:rPr>
        <w:t>strazioni con uffici periferici e</w:t>
      </w:r>
      <w:r w:rsidRPr="009C6FAC">
        <w:rPr>
          <w:rFonts w:ascii="Garamond" w:hAnsi="Garamond"/>
          <w:b/>
          <w:i/>
        </w:rPr>
        <w:t xml:space="preserve"> artic</w:t>
      </w:r>
      <w:r>
        <w:rPr>
          <w:rFonts w:ascii="Garamond" w:hAnsi="Garamond"/>
          <w:b/>
          <w:i/>
        </w:rPr>
        <w:t>olazioni organizzative autonome)</w:t>
      </w:r>
    </w:p>
    <w:p w:rsidR="004E715A" w:rsidRDefault="004E715A" w:rsidP="00124DAA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ind w:left="0" w:firstLine="0"/>
        <w:rPr>
          <w:rFonts w:ascii="Garamond" w:eastAsiaTheme="minorEastAsia" w:hAnsi="Garamond" w:cs="Garamond"/>
          <w:lang w:eastAsia="it-IT"/>
        </w:rPr>
      </w:pPr>
      <w:r w:rsidRPr="00CB75C1">
        <w:rPr>
          <w:rFonts w:ascii="Garamond" w:eastAsiaTheme="minorEastAsia" w:hAnsi="Garamond" w:cs="Garamond"/>
          <w:lang w:eastAsia="it-IT"/>
        </w:rPr>
        <w:t>ATS della Montagna</w:t>
      </w:r>
      <w:r>
        <w:rPr>
          <w:rFonts w:ascii="Garamond" w:eastAsiaTheme="minorEastAsia" w:hAnsi="Garamond" w:cs="Garamond"/>
          <w:lang w:eastAsia="it-IT"/>
        </w:rPr>
        <w:t xml:space="preserve"> è un’Agenzia avente autonoma personalità giuridica, pubblica e autonomia organizzativa, amministrativa, patrimoniale, contabile, gestionale e tecnica con sede legale in </w:t>
      </w:r>
      <w:r w:rsidRPr="00CB75C1">
        <w:rPr>
          <w:rFonts w:ascii="Garamond" w:eastAsiaTheme="minorEastAsia" w:hAnsi="Garamond" w:cs="Garamond"/>
          <w:lang w:eastAsia="it-IT"/>
        </w:rPr>
        <w:t xml:space="preserve">Sondrio, Via N. Sauro n. 38 </w:t>
      </w:r>
      <w:r>
        <w:rPr>
          <w:rFonts w:ascii="Garamond" w:eastAsiaTheme="minorEastAsia" w:hAnsi="Garamond" w:cs="Garamond"/>
          <w:lang w:eastAsia="it-IT"/>
        </w:rPr>
        <w:t xml:space="preserve">– 23100 Sondrio </w:t>
      </w:r>
      <w:r w:rsidRPr="00CB75C1">
        <w:rPr>
          <w:rFonts w:ascii="Garamond" w:eastAsiaTheme="minorEastAsia" w:hAnsi="Garamond" w:cs="Garamond"/>
          <w:lang w:eastAsia="it-IT"/>
        </w:rPr>
        <w:t xml:space="preserve">e con sedi operative presso la sede della ASST della </w:t>
      </w:r>
      <w:proofErr w:type="spellStart"/>
      <w:r w:rsidRPr="00CB75C1">
        <w:rPr>
          <w:rFonts w:ascii="Garamond" w:eastAsiaTheme="minorEastAsia" w:hAnsi="Garamond" w:cs="Garamond"/>
          <w:lang w:eastAsia="it-IT"/>
        </w:rPr>
        <w:t>Vallecamonica</w:t>
      </w:r>
      <w:proofErr w:type="spellEnd"/>
      <w:r w:rsidRPr="00CB75C1">
        <w:rPr>
          <w:rFonts w:ascii="Garamond" w:eastAsiaTheme="minorEastAsia" w:hAnsi="Garamond" w:cs="Garamond"/>
          <w:lang w:eastAsia="it-IT"/>
        </w:rPr>
        <w:t xml:space="preserve"> e della ASST della Valtellina e dell’Alto Lario</w:t>
      </w:r>
      <w:r>
        <w:rPr>
          <w:rFonts w:ascii="Garamond" w:eastAsiaTheme="minorEastAsia" w:hAnsi="Garamond" w:cs="Garamond"/>
          <w:lang w:eastAsia="it-IT"/>
        </w:rPr>
        <w:t>, strutture non dotate di autonomia.</w:t>
      </w:r>
    </w:p>
    <w:p w:rsidR="00CC5807" w:rsidRDefault="00CC5807" w:rsidP="00124DAA">
      <w:pPr>
        <w:pStyle w:val="Paragrafoelenco"/>
        <w:spacing w:after="0" w:line="360" w:lineRule="auto"/>
        <w:ind w:left="0" w:firstLine="0"/>
        <w:rPr>
          <w:rFonts w:ascii="Garamond" w:hAnsi="Garamond"/>
          <w:b/>
          <w:i/>
        </w:rPr>
      </w:pPr>
    </w:p>
    <w:p w:rsidR="00D60839" w:rsidRPr="009C6FAC" w:rsidRDefault="00D60839" w:rsidP="00124DAA">
      <w:pPr>
        <w:pStyle w:val="Paragrafoelenco"/>
        <w:spacing w:after="0"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21429D" w:rsidRDefault="00F715D3" w:rsidP="00124DAA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ind w:left="0" w:firstLine="0"/>
        <w:rPr>
          <w:rFonts w:ascii="Garamond" w:eastAsiaTheme="minorEastAsia" w:hAnsi="Garamond" w:cs="Garamond"/>
        </w:rPr>
      </w:pPr>
      <w:r>
        <w:rPr>
          <w:rFonts w:ascii="Garamond" w:eastAsiaTheme="minorEastAsia" w:hAnsi="Garamond" w:cs="Garamond"/>
          <w:lang w:eastAsia="it-IT"/>
        </w:rPr>
        <w:t xml:space="preserve">L’attività di verifica è stata condotta con il supporto del </w:t>
      </w:r>
      <w:r w:rsidR="0021429D" w:rsidRPr="004E715A">
        <w:rPr>
          <w:rFonts w:ascii="Garamond" w:eastAsiaTheme="minorEastAsia" w:hAnsi="Garamond" w:cs="Garamond"/>
          <w:lang w:eastAsia="it-IT"/>
        </w:rPr>
        <w:t>Responsabile della Prevenzione della Corruzione</w:t>
      </w:r>
      <w:r w:rsidR="0021429D">
        <w:rPr>
          <w:rFonts w:ascii="Garamond" w:eastAsiaTheme="minorEastAsia" w:hAnsi="Garamond" w:cs="Garamond"/>
          <w:lang w:eastAsia="it-IT"/>
        </w:rPr>
        <w:t xml:space="preserve">  e della Trasparenza (</w:t>
      </w:r>
      <w:r>
        <w:rPr>
          <w:rFonts w:ascii="Garamond" w:eastAsiaTheme="minorEastAsia" w:hAnsi="Garamond" w:cs="Garamond"/>
          <w:lang w:eastAsia="it-IT"/>
        </w:rPr>
        <w:t>RPCT</w:t>
      </w:r>
      <w:r w:rsidR="0021429D">
        <w:rPr>
          <w:rFonts w:ascii="Garamond" w:eastAsiaTheme="minorEastAsia" w:hAnsi="Garamond" w:cs="Garamond"/>
          <w:lang w:eastAsia="it-IT"/>
        </w:rPr>
        <w:t>)</w:t>
      </w:r>
      <w:r>
        <w:rPr>
          <w:rFonts w:ascii="Garamond" w:eastAsiaTheme="minorEastAsia" w:hAnsi="Garamond" w:cs="Garamond"/>
          <w:lang w:eastAsia="it-IT"/>
        </w:rPr>
        <w:t xml:space="preserve">, </w:t>
      </w:r>
      <w:r w:rsidR="0021429D">
        <w:rPr>
          <w:rFonts w:ascii="Garamond" w:eastAsiaTheme="minorEastAsia" w:hAnsi="Garamond" w:cs="Garamond"/>
          <w:lang w:eastAsia="it-IT"/>
        </w:rPr>
        <w:t>che preliminarmente ha richiesto ai Dirigenti/Responsabili delle articolazioni ATS competenti alla produzione/pubblicazione e aggiornamento dei dati, oggetto della verifica, di compilare ognuno per la parte di propria competenza</w:t>
      </w:r>
      <w:r w:rsidR="0021429D" w:rsidRPr="0021429D">
        <w:rPr>
          <w:rFonts w:ascii="Garamond" w:eastAsiaTheme="minorEastAsia" w:hAnsi="Garamond" w:cs="Garamond"/>
        </w:rPr>
        <w:t> (Piano Triennale per la Prevenzione della Corruzione e della Trasparenza - allegato 2 - deliberazione ATS 51/2017) la Griglia di rilevazione (allegato 2 alla suddetta delibera ANAC) sulla base dei criteri di compilazione indicati nell'allegato 4.</w:t>
      </w:r>
    </w:p>
    <w:p w:rsidR="0021429D" w:rsidRDefault="00F715D3" w:rsidP="0021429D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ind w:left="0" w:firstLine="0"/>
        <w:rPr>
          <w:rFonts w:ascii="Garamond" w:eastAsiaTheme="minorEastAsia" w:hAnsi="Garamond" w:cs="Garamond"/>
          <w:lang w:eastAsia="it-IT"/>
        </w:rPr>
      </w:pPr>
      <w:r>
        <w:rPr>
          <w:rFonts w:ascii="Garamond" w:eastAsiaTheme="minorEastAsia" w:hAnsi="Garamond" w:cs="Garamond"/>
          <w:lang w:eastAsia="it-IT"/>
        </w:rPr>
        <w:t>Il risultato dell’autovalutazione è stato oggetto di monitoraggio, controllando i dati, i documenti e le informazioni rientranti</w:t>
      </w:r>
      <w:r w:rsidR="0021429D">
        <w:rPr>
          <w:rFonts w:ascii="Garamond" w:eastAsiaTheme="minorEastAsia" w:hAnsi="Garamond" w:cs="Garamond"/>
          <w:lang w:eastAsia="it-IT"/>
        </w:rPr>
        <w:t xml:space="preserve"> nella rilevazione in argomento, attraverso la navigazione nella sezione “Amministrazione Trasparente” .</w:t>
      </w:r>
    </w:p>
    <w:p w:rsidR="00DE2A75" w:rsidRPr="00475DEF" w:rsidRDefault="00DE2A75" w:rsidP="0021429D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ind w:left="0" w:firstLine="0"/>
        <w:rPr>
          <w:rFonts w:ascii="Garamond" w:eastAsiaTheme="minorEastAsia" w:hAnsi="Garamond" w:cs="Garamond"/>
          <w:lang w:eastAsia="it-IT"/>
        </w:rPr>
      </w:pPr>
      <w:r w:rsidRPr="00475DEF">
        <w:rPr>
          <w:rFonts w:ascii="Garamond" w:eastAsiaTheme="minorEastAsia" w:hAnsi="Garamond" w:cs="Garamond"/>
          <w:lang w:eastAsia="it-IT"/>
        </w:rPr>
        <w:lastRenderedPageBreak/>
        <w:t>Il Nucleo ha preso atto che, in considerazione del processo di attuazione della legge regionale di riforma delle aziende e della conseguente nuova costituzione dell’ATS</w:t>
      </w:r>
      <w:r w:rsidR="00BE7AC3" w:rsidRPr="00475DEF">
        <w:rPr>
          <w:rFonts w:ascii="Garamond" w:eastAsiaTheme="minorEastAsia" w:hAnsi="Garamond" w:cs="Garamond"/>
          <w:lang w:eastAsia="it-IT"/>
        </w:rPr>
        <w:t xml:space="preserve"> Montagna, molta parte degli strumenti organizzativi è</w:t>
      </w:r>
      <w:r w:rsidR="00023D1E" w:rsidRPr="00475DEF">
        <w:rPr>
          <w:rFonts w:ascii="Garamond" w:eastAsiaTheme="minorEastAsia" w:hAnsi="Garamond" w:cs="Garamond"/>
          <w:lang w:eastAsia="it-IT"/>
        </w:rPr>
        <w:t>, alla data della rilevazione,</w:t>
      </w:r>
      <w:r w:rsidR="00BE7AC3" w:rsidRPr="00475DEF">
        <w:rPr>
          <w:rFonts w:ascii="Garamond" w:eastAsiaTheme="minorEastAsia" w:hAnsi="Garamond" w:cs="Garamond"/>
          <w:lang w:eastAsia="it-IT"/>
        </w:rPr>
        <w:t xml:space="preserve"> in corso di definizione e di approvazione.</w:t>
      </w:r>
    </w:p>
    <w:p w:rsidR="00BE7AC3" w:rsidRPr="00475DEF" w:rsidRDefault="00BE7AC3" w:rsidP="00124DAA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ind w:left="0" w:firstLine="0"/>
        <w:rPr>
          <w:rFonts w:ascii="Garamond" w:eastAsiaTheme="minorEastAsia" w:hAnsi="Garamond" w:cs="Garamond"/>
          <w:lang w:eastAsia="it-IT"/>
        </w:rPr>
      </w:pPr>
      <w:r w:rsidRPr="00475DEF">
        <w:rPr>
          <w:rFonts w:ascii="Garamond" w:eastAsiaTheme="minorEastAsia" w:hAnsi="Garamond" w:cs="Garamond"/>
          <w:lang w:eastAsia="it-IT"/>
        </w:rPr>
        <w:t>In conseguenza di ciò, parte degli obblighi di pubblicazione non hanno ancora documentazione specifica di riferimento per l’azienda</w:t>
      </w:r>
      <w:r w:rsidR="00D944B2" w:rsidRPr="00475DEF">
        <w:rPr>
          <w:rFonts w:ascii="Garamond" w:eastAsiaTheme="minorEastAsia" w:hAnsi="Garamond" w:cs="Garamond"/>
          <w:lang w:eastAsia="it-IT"/>
        </w:rPr>
        <w:t>: l</w:t>
      </w:r>
      <w:r w:rsidRPr="00475DEF">
        <w:rPr>
          <w:rFonts w:ascii="Garamond" w:eastAsiaTheme="minorEastAsia" w:hAnsi="Garamond" w:cs="Garamond"/>
          <w:lang w:eastAsia="it-IT"/>
        </w:rPr>
        <w:t xml:space="preserve">a sezione “Amministrazione Trasparente” del sito opportunamente rimanda in </w:t>
      </w:r>
      <w:r w:rsidR="00D944B2" w:rsidRPr="00475DEF">
        <w:rPr>
          <w:rFonts w:ascii="Garamond" w:eastAsiaTheme="minorEastAsia" w:hAnsi="Garamond" w:cs="Garamond"/>
          <w:lang w:eastAsia="it-IT"/>
        </w:rPr>
        <w:t>tali</w:t>
      </w:r>
      <w:r w:rsidRPr="00475DEF">
        <w:rPr>
          <w:rFonts w:ascii="Garamond" w:eastAsiaTheme="minorEastAsia" w:hAnsi="Garamond" w:cs="Garamond"/>
          <w:lang w:eastAsia="it-IT"/>
        </w:rPr>
        <w:t xml:space="preserve"> casi alla documentazione presente nelle sezioni corrispondenti delle aziende totalmente o in parte confluite nel nuovo ente.</w:t>
      </w:r>
    </w:p>
    <w:p w:rsidR="00D944B2" w:rsidRPr="00475DEF" w:rsidRDefault="00C2439E" w:rsidP="00124DAA">
      <w:pPr>
        <w:pStyle w:val="Paragrafoelenco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ind w:left="0" w:firstLine="0"/>
        <w:rPr>
          <w:rFonts w:ascii="Garamond" w:eastAsiaTheme="minorEastAsia" w:hAnsi="Garamond" w:cs="Garamond"/>
          <w:lang w:eastAsia="it-IT"/>
        </w:rPr>
      </w:pPr>
      <w:r w:rsidRPr="00475DEF">
        <w:rPr>
          <w:rFonts w:ascii="Garamond" w:eastAsiaTheme="minorEastAsia" w:hAnsi="Garamond" w:cs="Garamond"/>
          <w:lang w:eastAsia="it-IT"/>
        </w:rPr>
        <w:t xml:space="preserve">Il Nucleo di Valutazione delle Performance/Prestazioni in merito alla rilevazione ha ritenuto </w:t>
      </w:r>
      <w:r w:rsidR="00BE7AC3" w:rsidRPr="00475DEF">
        <w:rPr>
          <w:rFonts w:ascii="Garamond" w:eastAsiaTheme="minorEastAsia" w:hAnsi="Garamond" w:cs="Garamond"/>
          <w:lang w:eastAsia="it-IT"/>
        </w:rPr>
        <w:t xml:space="preserve">quindi </w:t>
      </w:r>
      <w:r w:rsidRPr="00475DEF">
        <w:rPr>
          <w:rFonts w:ascii="Garamond" w:eastAsiaTheme="minorEastAsia" w:hAnsi="Garamond" w:cs="Garamond"/>
          <w:lang w:eastAsia="it-IT"/>
        </w:rPr>
        <w:t>di evidenziare per i casi dove non sono stati pubblicati</w:t>
      </w:r>
      <w:r w:rsidR="00D42951" w:rsidRPr="00475DEF">
        <w:rPr>
          <w:rFonts w:ascii="Garamond" w:eastAsiaTheme="minorEastAsia" w:hAnsi="Garamond" w:cs="Garamond"/>
          <w:lang w:eastAsia="it-IT"/>
        </w:rPr>
        <w:t xml:space="preserve"> documenti </w:t>
      </w:r>
      <w:r w:rsidR="00D944B2" w:rsidRPr="00475DEF">
        <w:rPr>
          <w:rFonts w:ascii="Garamond" w:eastAsiaTheme="minorEastAsia" w:hAnsi="Garamond" w:cs="Garamond"/>
          <w:lang w:eastAsia="it-IT"/>
        </w:rPr>
        <w:t xml:space="preserve">specifici dell’azienda </w:t>
      </w:r>
      <w:r w:rsidR="00D42951" w:rsidRPr="00475DEF">
        <w:rPr>
          <w:rFonts w:ascii="Garamond" w:eastAsiaTheme="minorEastAsia" w:hAnsi="Garamond" w:cs="Garamond"/>
          <w:lang w:eastAsia="it-IT"/>
        </w:rPr>
        <w:t xml:space="preserve">con indicazione delle motivazioni nel campo note dell’allegato 2 – Foglio 1 – </w:t>
      </w:r>
      <w:r w:rsidR="00D944B2" w:rsidRPr="00475DEF">
        <w:rPr>
          <w:rFonts w:ascii="Garamond" w:eastAsiaTheme="minorEastAsia" w:hAnsi="Garamond" w:cs="Garamond"/>
          <w:lang w:eastAsia="it-IT"/>
        </w:rPr>
        <w:t>Elenco Obblighi.</w:t>
      </w:r>
    </w:p>
    <w:p w:rsidR="00D944B2" w:rsidRPr="00475DEF" w:rsidRDefault="00D944B2" w:rsidP="00124D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rPr>
          <w:rFonts w:ascii="Garamond" w:eastAsiaTheme="minorEastAsia" w:hAnsi="Garamond" w:cs="Garamond"/>
          <w:lang w:eastAsia="it-IT"/>
        </w:rPr>
      </w:pPr>
      <w:r w:rsidRPr="00475DEF">
        <w:rPr>
          <w:rFonts w:ascii="Garamond" w:eastAsiaTheme="minorEastAsia" w:hAnsi="Garamond" w:cs="Garamond"/>
          <w:lang w:eastAsia="it-IT"/>
        </w:rPr>
        <w:t>In particolare:</w:t>
      </w:r>
    </w:p>
    <w:p w:rsidR="00C2439E" w:rsidRPr="00475DEF" w:rsidRDefault="00D944B2" w:rsidP="00124DAA">
      <w:pPr>
        <w:pStyle w:val="Paragrafoelenco"/>
        <w:keepNext w:val="0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rPr>
          <w:rFonts w:ascii="Garamond" w:eastAsiaTheme="minorEastAsia" w:hAnsi="Garamond" w:cs="Garamond"/>
          <w:lang w:eastAsia="it-IT"/>
        </w:rPr>
      </w:pPr>
      <w:r w:rsidRPr="00475DEF">
        <w:rPr>
          <w:rFonts w:ascii="Garamond" w:eastAsiaTheme="minorEastAsia" w:hAnsi="Garamond" w:cs="Garamond"/>
          <w:lang w:eastAsia="it-IT"/>
        </w:rPr>
        <w:t>si è considerato pienamente adempiuto</w:t>
      </w:r>
      <w:r w:rsidR="00475DEF" w:rsidRPr="00475DEF">
        <w:rPr>
          <w:rFonts w:ascii="Garamond" w:eastAsiaTheme="minorEastAsia" w:hAnsi="Garamond" w:cs="Garamond"/>
          <w:lang w:eastAsia="it-IT"/>
        </w:rPr>
        <w:t>,</w:t>
      </w:r>
      <w:r w:rsidRPr="00475DEF">
        <w:rPr>
          <w:rFonts w:ascii="Garamond" w:eastAsiaTheme="minorEastAsia" w:hAnsi="Garamond" w:cs="Garamond"/>
          <w:lang w:eastAsia="it-IT"/>
        </w:rPr>
        <w:t xml:space="preserve"> </w:t>
      </w:r>
      <w:r w:rsidR="00475DEF" w:rsidRPr="00475DEF">
        <w:rPr>
          <w:rFonts w:ascii="Garamond" w:eastAsiaTheme="minorEastAsia" w:hAnsi="Garamond" w:cs="Garamond"/>
          <w:lang w:eastAsia="it-IT"/>
        </w:rPr>
        <w:t xml:space="preserve">da parte di ATS Montagna, </w:t>
      </w:r>
      <w:r w:rsidRPr="00475DEF">
        <w:rPr>
          <w:rFonts w:ascii="Garamond" w:eastAsiaTheme="minorEastAsia" w:hAnsi="Garamond" w:cs="Garamond"/>
          <w:lang w:eastAsia="it-IT"/>
        </w:rPr>
        <w:t>l’obbligo attraverso la pubblicazione dell’informativa sulla temporanea mancanza di disponibilità del documento in quanto non ancora disponibile / deliberato in ottemperanza ai tempi del piano di attuazione della L.R. 11 agosto 2015, n. 23 di evoluzione del sistema socio sanitario lombardo;</w:t>
      </w:r>
    </w:p>
    <w:p w:rsidR="00D944B2" w:rsidRPr="00475DEF" w:rsidRDefault="00D944B2" w:rsidP="00124DAA">
      <w:pPr>
        <w:pStyle w:val="Paragrafoelenco"/>
        <w:keepNext w:val="0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rPr>
          <w:rFonts w:ascii="Garamond" w:eastAsiaTheme="minorEastAsia" w:hAnsi="Garamond" w:cs="Garamond"/>
          <w:lang w:eastAsia="it-IT"/>
        </w:rPr>
      </w:pPr>
      <w:r w:rsidRPr="00475DEF">
        <w:rPr>
          <w:rFonts w:ascii="Garamond" w:eastAsiaTheme="minorEastAsia" w:hAnsi="Garamond" w:cs="Garamond"/>
          <w:lang w:eastAsia="it-IT"/>
        </w:rPr>
        <w:t>si è considerato pienamente adempiuto</w:t>
      </w:r>
      <w:r w:rsidR="00475DEF" w:rsidRPr="00475DEF">
        <w:rPr>
          <w:rFonts w:ascii="Garamond" w:eastAsiaTheme="minorEastAsia" w:hAnsi="Garamond" w:cs="Garamond"/>
          <w:lang w:eastAsia="it-IT"/>
        </w:rPr>
        <w:t xml:space="preserve">, da parte di ATS Montagna, </w:t>
      </w:r>
      <w:r w:rsidRPr="00475DEF">
        <w:rPr>
          <w:rFonts w:ascii="Garamond" w:eastAsiaTheme="minorEastAsia" w:hAnsi="Garamond" w:cs="Garamond"/>
          <w:lang w:eastAsia="it-IT"/>
        </w:rPr>
        <w:t>l’obbligo attraverso il rimando ai documenti</w:t>
      </w:r>
      <w:r w:rsidR="00475DEF" w:rsidRPr="00475DEF">
        <w:rPr>
          <w:rFonts w:ascii="Garamond" w:eastAsiaTheme="minorEastAsia" w:hAnsi="Garamond" w:cs="Garamond"/>
          <w:lang w:eastAsia="it-IT"/>
        </w:rPr>
        <w:t xml:space="preserve"> riferiti ad anni precedenti,</w:t>
      </w:r>
      <w:r w:rsidRPr="00475DEF">
        <w:rPr>
          <w:rFonts w:ascii="Garamond" w:eastAsiaTheme="minorEastAsia" w:hAnsi="Garamond" w:cs="Garamond"/>
          <w:lang w:eastAsia="it-IT"/>
        </w:rPr>
        <w:t xml:space="preserve"> disponibili nella sezione Amministrazione Trasparente dei siti delle aziende confluite totalmente o parzialmente nell’ATS Montagna;</w:t>
      </w:r>
    </w:p>
    <w:p w:rsidR="00D944B2" w:rsidRPr="00475DEF" w:rsidRDefault="00D944B2" w:rsidP="00124DAA">
      <w:pPr>
        <w:pStyle w:val="Paragrafoelenco"/>
        <w:keepNext w:val="0"/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rPr>
          <w:rFonts w:ascii="Garamond" w:eastAsiaTheme="minorEastAsia" w:hAnsi="Garamond" w:cs="Garamond"/>
          <w:lang w:eastAsia="it-IT"/>
        </w:rPr>
      </w:pPr>
      <w:r w:rsidRPr="00475DEF">
        <w:rPr>
          <w:rFonts w:ascii="Garamond" w:eastAsiaTheme="minorEastAsia" w:hAnsi="Garamond" w:cs="Garamond"/>
          <w:lang w:eastAsia="it-IT"/>
        </w:rPr>
        <w:t xml:space="preserve">sono state considerate le assunzioni di cui ai punti precedenti nella valutazione del grado di presenza di apertura ed </w:t>
      </w:r>
      <w:proofErr w:type="spellStart"/>
      <w:r w:rsidRPr="00475DEF">
        <w:rPr>
          <w:rFonts w:ascii="Garamond" w:eastAsiaTheme="minorEastAsia" w:hAnsi="Garamond" w:cs="Garamond"/>
          <w:lang w:eastAsia="it-IT"/>
        </w:rPr>
        <w:t>elaborabilità</w:t>
      </w:r>
      <w:proofErr w:type="spellEnd"/>
      <w:r w:rsidRPr="00475DEF">
        <w:rPr>
          <w:rFonts w:ascii="Garamond" w:eastAsiaTheme="minorEastAsia" w:hAnsi="Garamond" w:cs="Garamond"/>
          <w:lang w:eastAsia="it-IT"/>
        </w:rPr>
        <w:t xml:space="preserve"> del documento pubbl</w:t>
      </w:r>
      <w:r w:rsidR="00C11A06" w:rsidRPr="00475DEF">
        <w:rPr>
          <w:rFonts w:ascii="Garamond" w:eastAsiaTheme="minorEastAsia" w:hAnsi="Garamond" w:cs="Garamond"/>
          <w:lang w:eastAsia="it-IT"/>
        </w:rPr>
        <w:t>icato.</w:t>
      </w:r>
    </w:p>
    <w:p w:rsidR="00D944B2" w:rsidRDefault="00D944B2" w:rsidP="00124D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rPr>
          <w:rFonts w:ascii="Garamond" w:eastAsiaTheme="minorEastAsia" w:hAnsi="Garamond" w:cs="Garamond"/>
          <w:lang w:eastAsia="it-IT"/>
        </w:rPr>
      </w:pPr>
    </w:p>
    <w:p w:rsidR="00F715D3" w:rsidRPr="009C6FAC" w:rsidRDefault="00F715D3" w:rsidP="00124DAA">
      <w:pPr>
        <w:spacing w:after="0"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E644BA" w:rsidRPr="009C6FAC" w:rsidRDefault="00E644BA" w:rsidP="00124D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rPr>
          <w:rFonts w:ascii="Garamond" w:hAnsi="Garamond"/>
          <w:b/>
          <w:u w:val="single"/>
        </w:rPr>
      </w:pPr>
      <w:r>
        <w:rPr>
          <w:rFonts w:ascii="Garamond" w:eastAsiaTheme="minorEastAsia" w:hAnsi="Garamond" w:cs="Garamond"/>
          <w:lang w:eastAsia="it-IT"/>
        </w:rPr>
        <w:t>Il Nucleo di Valutazione delle Performance/Prestazioni, nominato dal 1° gennaio 2017, ha preso atto degli aspetti critici riscontrati nel corso della rilevazione che di seguito si descrivono:</w:t>
      </w:r>
    </w:p>
    <w:p w:rsidR="00D944B2" w:rsidRPr="00475DEF" w:rsidRDefault="00BE7AC3" w:rsidP="00124DAA">
      <w:pPr>
        <w:pStyle w:val="Paragrafoelenco"/>
        <w:keepNext w:val="0"/>
        <w:widowControl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ind w:left="357" w:hanging="357"/>
        <w:rPr>
          <w:rFonts w:ascii="Garamond" w:eastAsiaTheme="minorEastAsia" w:hAnsi="Garamond" w:cs="Garamond"/>
          <w:lang w:eastAsia="it-IT"/>
        </w:rPr>
      </w:pPr>
      <w:r>
        <w:rPr>
          <w:rFonts w:ascii="Garamond" w:eastAsiaTheme="minorEastAsia" w:hAnsi="Garamond" w:cs="Garamond"/>
          <w:lang w:eastAsia="it-IT"/>
        </w:rPr>
        <w:t xml:space="preserve">Come già rilevato, </w:t>
      </w:r>
      <w:r w:rsidR="00E644BA">
        <w:rPr>
          <w:rFonts w:ascii="Garamond" w:eastAsiaTheme="minorEastAsia" w:hAnsi="Garamond" w:cs="Garamond"/>
          <w:lang w:eastAsia="it-IT"/>
        </w:rPr>
        <w:t>n</w:t>
      </w:r>
      <w:r w:rsidR="009C2875" w:rsidRPr="00E644BA">
        <w:rPr>
          <w:rFonts w:ascii="Garamond" w:eastAsiaTheme="minorEastAsia" w:hAnsi="Garamond" w:cs="Garamond"/>
          <w:lang w:eastAsia="it-IT"/>
        </w:rPr>
        <w:t xml:space="preserve">el corso dell'esercizio 2016, ai sensi e per </w:t>
      </w:r>
      <w:r w:rsidR="00D42951">
        <w:rPr>
          <w:rFonts w:ascii="Garamond" w:eastAsiaTheme="minorEastAsia" w:hAnsi="Garamond" w:cs="Garamond"/>
          <w:lang w:eastAsia="it-IT"/>
        </w:rPr>
        <w:t>gli effetti della Legge Regionale n. 23/2015</w:t>
      </w:r>
      <w:r w:rsidR="009C2875" w:rsidRPr="00E644BA">
        <w:rPr>
          <w:rFonts w:ascii="Garamond" w:eastAsiaTheme="minorEastAsia" w:hAnsi="Garamond" w:cs="Garamond"/>
          <w:lang w:eastAsia="it-IT"/>
        </w:rPr>
        <w:t>,</w:t>
      </w:r>
      <w:r w:rsidR="00CD42AF" w:rsidRPr="00E644BA">
        <w:rPr>
          <w:rFonts w:ascii="Garamond" w:eastAsiaTheme="minorEastAsia" w:hAnsi="Garamond" w:cs="Garamond"/>
          <w:lang w:eastAsia="it-IT"/>
        </w:rPr>
        <w:t xml:space="preserve"> </w:t>
      </w:r>
      <w:r w:rsidR="009C2875" w:rsidRPr="00E644BA">
        <w:rPr>
          <w:rFonts w:ascii="Garamond" w:eastAsiaTheme="minorEastAsia" w:hAnsi="Garamond" w:cs="Garamond"/>
          <w:lang w:eastAsia="it-IT"/>
        </w:rPr>
        <w:t xml:space="preserve">ATS </w:t>
      </w:r>
      <w:r w:rsidR="00067503" w:rsidRPr="00E644BA">
        <w:rPr>
          <w:rFonts w:ascii="Garamond" w:eastAsiaTheme="minorEastAsia" w:hAnsi="Garamond" w:cs="Garamond"/>
          <w:lang w:eastAsia="it-IT"/>
        </w:rPr>
        <w:t xml:space="preserve">della Montagna </w:t>
      </w:r>
      <w:r w:rsidR="009C2875" w:rsidRPr="00E644BA">
        <w:rPr>
          <w:rFonts w:ascii="Garamond" w:eastAsiaTheme="minorEastAsia" w:hAnsi="Garamond" w:cs="Garamond"/>
          <w:lang w:eastAsia="it-IT"/>
        </w:rPr>
        <w:t>è stata impegnata nella creazione de</w:t>
      </w:r>
      <w:r w:rsidR="00E644BA">
        <w:rPr>
          <w:rFonts w:ascii="Garamond" w:eastAsiaTheme="minorEastAsia" w:hAnsi="Garamond" w:cs="Garamond"/>
          <w:lang w:eastAsia="it-IT"/>
        </w:rPr>
        <w:t xml:space="preserve">l nuovo sito web istituzionale </w:t>
      </w:r>
      <w:r w:rsidR="009C2875" w:rsidRPr="00E644BA">
        <w:rPr>
          <w:rFonts w:ascii="Garamond" w:eastAsiaTheme="minorEastAsia" w:hAnsi="Garamond" w:cs="Garamond"/>
          <w:lang w:eastAsia="it-IT"/>
        </w:rPr>
        <w:t>con la dismissione de</w:t>
      </w:r>
      <w:r w:rsidR="00F76A9E" w:rsidRPr="00E644BA">
        <w:rPr>
          <w:rFonts w:ascii="Garamond" w:eastAsiaTheme="minorEastAsia" w:hAnsi="Garamond" w:cs="Garamond"/>
          <w:lang w:eastAsia="it-IT"/>
        </w:rPr>
        <w:t>l sito della</w:t>
      </w:r>
      <w:r w:rsidR="009C2875" w:rsidRPr="00E644BA">
        <w:rPr>
          <w:rFonts w:ascii="Garamond" w:eastAsiaTheme="minorEastAsia" w:hAnsi="Garamond" w:cs="Garamond"/>
          <w:lang w:eastAsia="it-IT"/>
        </w:rPr>
        <w:t xml:space="preserve"> ex ASL </w:t>
      </w:r>
      <w:r w:rsidR="00F76A9E" w:rsidRPr="00E644BA">
        <w:rPr>
          <w:rFonts w:ascii="Garamond" w:eastAsiaTheme="minorEastAsia" w:hAnsi="Garamond" w:cs="Garamond"/>
          <w:lang w:eastAsia="it-IT"/>
        </w:rPr>
        <w:t>di Sondrio</w:t>
      </w:r>
      <w:r w:rsidR="009C2875" w:rsidRPr="00E644BA">
        <w:rPr>
          <w:rFonts w:ascii="Garamond" w:eastAsiaTheme="minorEastAsia" w:hAnsi="Garamond" w:cs="Garamond"/>
          <w:lang w:eastAsia="it-IT"/>
        </w:rPr>
        <w:t>. Tale processo, unitamente alla gestione</w:t>
      </w:r>
      <w:r w:rsidR="00CD42AF" w:rsidRPr="00E644BA">
        <w:rPr>
          <w:rFonts w:ascii="Garamond" w:eastAsiaTheme="minorEastAsia" w:hAnsi="Garamond" w:cs="Garamond"/>
          <w:lang w:eastAsia="it-IT"/>
        </w:rPr>
        <w:t xml:space="preserve"> </w:t>
      </w:r>
      <w:r w:rsidR="009C2875" w:rsidRPr="00E644BA">
        <w:rPr>
          <w:rFonts w:ascii="Garamond" w:eastAsiaTheme="minorEastAsia" w:hAnsi="Garamond" w:cs="Garamond"/>
          <w:lang w:eastAsia="it-IT"/>
        </w:rPr>
        <w:t xml:space="preserve">nel </w:t>
      </w:r>
      <w:r w:rsidR="009C2875" w:rsidRPr="00475DEF">
        <w:rPr>
          <w:rFonts w:ascii="Garamond" w:eastAsiaTheme="minorEastAsia" w:hAnsi="Garamond" w:cs="Garamond"/>
          <w:lang w:eastAsia="it-IT"/>
        </w:rPr>
        <w:t>periodo transitorio, dei due siti istituzionali (</w:t>
      </w:r>
      <w:r w:rsidR="00067503" w:rsidRPr="00475DEF">
        <w:rPr>
          <w:rFonts w:ascii="Garamond" w:eastAsiaTheme="minorEastAsia" w:hAnsi="Garamond" w:cs="Garamond"/>
          <w:lang w:eastAsia="it-IT"/>
        </w:rPr>
        <w:t xml:space="preserve">ex </w:t>
      </w:r>
      <w:r w:rsidR="009C2875" w:rsidRPr="00475DEF">
        <w:rPr>
          <w:rFonts w:ascii="Garamond" w:eastAsiaTheme="minorEastAsia" w:hAnsi="Garamond" w:cs="Garamond"/>
          <w:lang w:eastAsia="it-IT"/>
        </w:rPr>
        <w:t xml:space="preserve">ASL </w:t>
      </w:r>
      <w:r w:rsidR="00067503" w:rsidRPr="00475DEF">
        <w:rPr>
          <w:rFonts w:ascii="Garamond" w:eastAsiaTheme="minorEastAsia" w:hAnsi="Garamond" w:cs="Garamond"/>
          <w:lang w:eastAsia="it-IT"/>
        </w:rPr>
        <w:t>di Sondrio; ATS della Montagna</w:t>
      </w:r>
      <w:r w:rsidR="009C2875" w:rsidRPr="00475DEF">
        <w:rPr>
          <w:rFonts w:ascii="Garamond" w:eastAsiaTheme="minorEastAsia" w:hAnsi="Garamond" w:cs="Garamond"/>
          <w:lang w:eastAsia="it-IT"/>
        </w:rPr>
        <w:t>) ha</w:t>
      </w:r>
      <w:r w:rsidR="00D944B2" w:rsidRPr="00475DEF">
        <w:rPr>
          <w:rFonts w:ascii="Garamond" w:eastAsiaTheme="minorEastAsia" w:hAnsi="Garamond" w:cs="Garamond"/>
          <w:lang w:eastAsia="it-IT"/>
        </w:rPr>
        <w:t>, secondo quanto relazionato dagli uffici competenti dell’Azienda,</w:t>
      </w:r>
      <w:r w:rsidR="009C2875" w:rsidRPr="00475DEF">
        <w:rPr>
          <w:rFonts w:ascii="Garamond" w:eastAsiaTheme="minorEastAsia" w:hAnsi="Garamond" w:cs="Garamond"/>
          <w:lang w:eastAsia="it-IT"/>
        </w:rPr>
        <w:t xml:space="preserve"> comportato</w:t>
      </w:r>
      <w:r w:rsidR="00D944B2" w:rsidRPr="00475DEF">
        <w:rPr>
          <w:rFonts w:ascii="Garamond" w:eastAsiaTheme="minorEastAsia" w:hAnsi="Garamond" w:cs="Garamond"/>
          <w:lang w:eastAsia="it-IT"/>
        </w:rPr>
        <w:t>:</w:t>
      </w:r>
    </w:p>
    <w:p w:rsidR="00E644BA" w:rsidRDefault="009C2875" w:rsidP="00124DAA">
      <w:pPr>
        <w:pStyle w:val="Paragrafoelenco"/>
        <w:keepNext w:val="0"/>
        <w:widowControl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rPr>
          <w:rFonts w:ascii="Garamond" w:eastAsiaTheme="minorEastAsia" w:hAnsi="Garamond" w:cs="Garamond"/>
          <w:lang w:eastAsia="it-IT"/>
        </w:rPr>
      </w:pPr>
      <w:r w:rsidRPr="00E644BA">
        <w:rPr>
          <w:rFonts w:ascii="Garamond" w:eastAsiaTheme="minorEastAsia" w:hAnsi="Garamond" w:cs="Garamond"/>
          <w:lang w:eastAsia="it-IT"/>
        </w:rPr>
        <w:t>un non</w:t>
      </w:r>
      <w:r w:rsidR="00CD42AF" w:rsidRPr="00E644BA">
        <w:rPr>
          <w:rFonts w:ascii="Garamond" w:eastAsiaTheme="minorEastAsia" w:hAnsi="Garamond" w:cs="Garamond"/>
          <w:lang w:eastAsia="it-IT"/>
        </w:rPr>
        <w:t xml:space="preserve"> </w:t>
      </w:r>
      <w:r w:rsidRPr="00E644BA">
        <w:rPr>
          <w:rFonts w:ascii="Garamond" w:eastAsiaTheme="minorEastAsia" w:hAnsi="Garamond" w:cs="Garamond"/>
          <w:lang w:eastAsia="it-IT"/>
        </w:rPr>
        <w:t>sempre puntuale allineame</w:t>
      </w:r>
      <w:r w:rsidR="00E644BA">
        <w:rPr>
          <w:rFonts w:ascii="Garamond" w:eastAsiaTheme="minorEastAsia" w:hAnsi="Garamond" w:cs="Garamond"/>
          <w:lang w:eastAsia="it-IT"/>
        </w:rPr>
        <w:t>nto nel livello di adempimento;</w:t>
      </w:r>
    </w:p>
    <w:p w:rsidR="009C2875" w:rsidRPr="00E644BA" w:rsidRDefault="00D944B2" w:rsidP="00124DAA">
      <w:pPr>
        <w:pStyle w:val="Paragrafoelenco"/>
        <w:keepNext w:val="0"/>
        <w:widowControl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rPr>
          <w:rFonts w:ascii="Garamond" w:eastAsiaTheme="minorEastAsia" w:hAnsi="Garamond" w:cs="Garamond"/>
          <w:lang w:eastAsia="it-IT"/>
        </w:rPr>
      </w:pPr>
      <w:r>
        <w:rPr>
          <w:rFonts w:ascii="Garamond" w:eastAsiaTheme="minorEastAsia" w:hAnsi="Garamond" w:cs="Garamond"/>
          <w:lang w:eastAsia="it-IT"/>
        </w:rPr>
        <w:t>la difficoltà di</w:t>
      </w:r>
      <w:r w:rsidRPr="00E644BA">
        <w:rPr>
          <w:rFonts w:ascii="Garamond" w:eastAsiaTheme="minorEastAsia" w:hAnsi="Garamond" w:cs="Garamond"/>
          <w:lang w:eastAsia="it-IT"/>
        </w:rPr>
        <w:t xml:space="preserve"> assicurare la presenza di dati sempre aggiornati e contestualizzati </w:t>
      </w:r>
      <w:r>
        <w:rPr>
          <w:rFonts w:ascii="Garamond" w:eastAsiaTheme="minorEastAsia" w:hAnsi="Garamond" w:cs="Garamond"/>
          <w:lang w:eastAsia="it-IT"/>
        </w:rPr>
        <w:t>in considerazione della</w:t>
      </w:r>
      <w:r w:rsidR="009C2875" w:rsidRPr="00E644BA">
        <w:rPr>
          <w:rFonts w:ascii="Garamond" w:eastAsiaTheme="minorEastAsia" w:hAnsi="Garamond" w:cs="Garamond"/>
          <w:lang w:eastAsia="it-IT"/>
        </w:rPr>
        <w:t xml:space="preserve"> complessità</w:t>
      </w:r>
      <w:r w:rsidR="00CD42AF" w:rsidRPr="00E644BA">
        <w:rPr>
          <w:rFonts w:ascii="Garamond" w:eastAsiaTheme="minorEastAsia" w:hAnsi="Garamond" w:cs="Garamond"/>
          <w:lang w:eastAsia="it-IT"/>
        </w:rPr>
        <w:t xml:space="preserve"> </w:t>
      </w:r>
      <w:r w:rsidR="009C2875" w:rsidRPr="00E644BA">
        <w:rPr>
          <w:rFonts w:ascii="Garamond" w:eastAsiaTheme="minorEastAsia" w:hAnsi="Garamond" w:cs="Garamond"/>
          <w:lang w:eastAsia="it-IT"/>
        </w:rPr>
        <w:t>dell'organi</w:t>
      </w:r>
      <w:r w:rsidR="006C13B9">
        <w:rPr>
          <w:rFonts w:ascii="Garamond" w:eastAsiaTheme="minorEastAsia" w:hAnsi="Garamond" w:cs="Garamond"/>
          <w:lang w:eastAsia="it-IT"/>
        </w:rPr>
        <w:t xml:space="preserve">zzazione e la quantità di dati e dei </w:t>
      </w:r>
      <w:r w:rsidR="009C2875" w:rsidRPr="00E644BA">
        <w:rPr>
          <w:rFonts w:ascii="Garamond" w:eastAsiaTheme="minorEastAsia" w:hAnsi="Garamond" w:cs="Garamond"/>
          <w:lang w:eastAsia="it-IT"/>
        </w:rPr>
        <w:t xml:space="preserve">documenti da pubblicare </w:t>
      </w:r>
      <w:r w:rsidR="006C13B9">
        <w:rPr>
          <w:rFonts w:ascii="Garamond" w:eastAsiaTheme="minorEastAsia" w:hAnsi="Garamond" w:cs="Garamond"/>
          <w:lang w:eastAsia="it-IT"/>
        </w:rPr>
        <w:t>hanno reso</w:t>
      </w:r>
      <w:r w:rsidR="009C2875" w:rsidRPr="00E644BA">
        <w:rPr>
          <w:rFonts w:ascii="Garamond" w:eastAsiaTheme="minorEastAsia" w:hAnsi="Garamond" w:cs="Garamond"/>
          <w:lang w:eastAsia="it-IT"/>
        </w:rPr>
        <w:t>.</w:t>
      </w:r>
    </w:p>
    <w:p w:rsidR="00E644BA" w:rsidRDefault="00D42951" w:rsidP="00124D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76" w:lineRule="auto"/>
        <w:rPr>
          <w:rFonts w:ascii="Garamond" w:eastAsiaTheme="minorEastAsia" w:hAnsi="Garamond" w:cs="Garamond"/>
          <w:lang w:eastAsia="it-IT"/>
        </w:rPr>
      </w:pPr>
      <w:r>
        <w:rPr>
          <w:rFonts w:ascii="Garamond" w:eastAsiaTheme="minorEastAsia" w:hAnsi="Garamond" w:cs="Garamond"/>
          <w:lang w:eastAsia="it-IT"/>
        </w:rPr>
        <w:t>Inoltre l</w:t>
      </w:r>
      <w:r w:rsidR="00E644BA">
        <w:rPr>
          <w:rFonts w:ascii="Garamond" w:eastAsiaTheme="minorEastAsia" w:hAnsi="Garamond" w:cs="Garamond"/>
          <w:lang w:eastAsia="it-IT"/>
        </w:rPr>
        <w:t>’</w:t>
      </w:r>
      <w:r w:rsidR="00E644BA" w:rsidRPr="00E644BA">
        <w:rPr>
          <w:rFonts w:ascii="Garamond" w:eastAsiaTheme="minorEastAsia" w:hAnsi="Garamond" w:cs="Garamond"/>
          <w:lang w:eastAsia="it-IT"/>
        </w:rPr>
        <w:t xml:space="preserve">entrata in vigore dal 23.12.2016 del D.lgs. n. 97/2016 ha comportato </w:t>
      </w:r>
      <w:r w:rsidR="006C13B9">
        <w:rPr>
          <w:rFonts w:ascii="Garamond" w:eastAsiaTheme="minorEastAsia" w:hAnsi="Garamond" w:cs="Garamond"/>
          <w:lang w:eastAsia="it-IT"/>
        </w:rPr>
        <w:t>ulteriori criticità</w:t>
      </w:r>
      <w:r w:rsidR="00E644BA" w:rsidRPr="00E644BA">
        <w:rPr>
          <w:rFonts w:ascii="Garamond" w:eastAsiaTheme="minorEastAsia" w:hAnsi="Garamond" w:cs="Garamond"/>
          <w:lang w:eastAsia="it-IT"/>
        </w:rPr>
        <w:t xml:space="preserve"> in termini di</w:t>
      </w:r>
      <w:r w:rsidR="00E644BA">
        <w:rPr>
          <w:rFonts w:ascii="Garamond" w:eastAsiaTheme="minorEastAsia" w:hAnsi="Garamond" w:cs="Garamond"/>
          <w:lang w:eastAsia="it-IT"/>
        </w:rPr>
        <w:t xml:space="preserve"> </w:t>
      </w:r>
      <w:r w:rsidR="00E644BA" w:rsidRPr="00E644BA">
        <w:rPr>
          <w:rFonts w:ascii="Garamond" w:eastAsiaTheme="minorEastAsia" w:hAnsi="Garamond" w:cs="Garamond"/>
          <w:lang w:eastAsia="it-IT"/>
        </w:rPr>
        <w:t>ricognizione delle modifiche/integrazioni introdotte e relativo adegua</w:t>
      </w:r>
      <w:r w:rsidR="00E644BA">
        <w:rPr>
          <w:rFonts w:ascii="Garamond" w:eastAsiaTheme="minorEastAsia" w:hAnsi="Garamond" w:cs="Garamond"/>
          <w:lang w:eastAsia="it-IT"/>
        </w:rPr>
        <w:t>mento.</w:t>
      </w:r>
    </w:p>
    <w:p w:rsidR="00CD42AF" w:rsidRDefault="00CD42AF" w:rsidP="00124DAA">
      <w:pPr>
        <w:spacing w:after="0" w:line="360" w:lineRule="auto"/>
        <w:rPr>
          <w:rFonts w:ascii="Garamond" w:hAnsi="Garamond"/>
          <w:b/>
          <w:i/>
        </w:rPr>
      </w:pPr>
    </w:p>
    <w:p w:rsidR="00D60839" w:rsidRPr="009C6FAC" w:rsidRDefault="00D60839" w:rsidP="00124DAA">
      <w:pPr>
        <w:spacing w:after="0"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D60839" w:rsidRDefault="00F715D3" w:rsidP="00124D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76" w:lineRule="auto"/>
        <w:jc w:val="left"/>
        <w:rPr>
          <w:rFonts w:ascii="Garamond" w:hAnsi="Garamond"/>
        </w:rPr>
      </w:pPr>
      <w:r>
        <w:rPr>
          <w:rFonts w:ascii="Garamond" w:hAnsi="Garamond"/>
        </w:rPr>
        <w:t>Nessuna documentazione.</w:t>
      </w:r>
    </w:p>
    <w:p w:rsidR="00F76A9E" w:rsidRDefault="00F76A9E" w:rsidP="00124D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76" w:lineRule="auto"/>
        <w:jc w:val="left"/>
        <w:rPr>
          <w:rFonts w:ascii="Garamond" w:hAnsi="Garamond"/>
        </w:rPr>
      </w:pPr>
    </w:p>
    <w:p w:rsidR="00F76A9E" w:rsidRDefault="00F76A9E" w:rsidP="00124D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76" w:lineRule="auto"/>
        <w:jc w:val="left"/>
        <w:rPr>
          <w:rFonts w:ascii="Garamond" w:hAnsi="Garamond"/>
        </w:rPr>
      </w:pPr>
    </w:p>
    <w:p w:rsidR="00F76A9E" w:rsidRPr="00F76A9E" w:rsidRDefault="00F76A9E" w:rsidP="00124DAA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F76A9E">
        <w:rPr>
          <w:rFonts w:ascii="Garamond" w:hAnsi="Garamond" w:cs="Times New Roman"/>
        </w:rPr>
        <w:t>Sondrio, 31 marzo 2017</w:t>
      </w:r>
    </w:p>
    <w:p w:rsidR="00F76A9E" w:rsidRPr="00F76A9E" w:rsidRDefault="00F76A9E" w:rsidP="00124DAA">
      <w:pPr>
        <w:spacing w:before="120" w:after="0" w:line="320" w:lineRule="exact"/>
        <w:ind w:left="4956" w:firstLine="708"/>
        <w:jc w:val="center"/>
        <w:rPr>
          <w:rFonts w:ascii="Garamond" w:hAnsi="Garamond" w:cs="Times New Roman"/>
        </w:rPr>
      </w:pPr>
    </w:p>
    <w:p w:rsidR="00F76A9E" w:rsidRPr="00F76A9E" w:rsidRDefault="00F76A9E" w:rsidP="00124DAA">
      <w:pPr>
        <w:spacing w:before="120" w:after="0" w:line="320" w:lineRule="exact"/>
        <w:ind w:left="4956" w:firstLine="708"/>
        <w:jc w:val="center"/>
        <w:rPr>
          <w:rFonts w:ascii="Garamond" w:hAnsi="Garamond" w:cs="Times New Roman"/>
        </w:rPr>
      </w:pPr>
      <w:bookmarkStart w:id="0" w:name="_GoBack"/>
      <w:bookmarkEnd w:id="0"/>
      <w:r w:rsidRPr="00F76A9E">
        <w:rPr>
          <w:rFonts w:ascii="Garamond" w:hAnsi="Garamond" w:cs="Times New Roman"/>
        </w:rPr>
        <w:t>Il Presidente</w:t>
      </w:r>
    </w:p>
    <w:p w:rsidR="00F76A9E" w:rsidRPr="00F76A9E" w:rsidRDefault="00DA3C5E" w:rsidP="00124DAA">
      <w:pPr>
        <w:spacing w:after="0" w:line="320" w:lineRule="exact"/>
        <w:ind w:left="4956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F.to </w:t>
      </w:r>
      <w:r w:rsidR="00F76A9E" w:rsidRPr="00F76A9E">
        <w:rPr>
          <w:rFonts w:ascii="Garamond" w:hAnsi="Garamond" w:cs="Times New Roman"/>
        </w:rPr>
        <w:t>Dott. Gianmaria Battaglia</w:t>
      </w:r>
    </w:p>
    <w:p w:rsidR="00F76A9E" w:rsidRDefault="00F76A9E" w:rsidP="00124DA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76" w:lineRule="auto"/>
        <w:jc w:val="left"/>
        <w:rPr>
          <w:rFonts w:ascii="Garamond" w:hAnsi="Garamond"/>
        </w:rPr>
      </w:pPr>
    </w:p>
    <w:sectPr w:rsidR="00F76A9E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0F" w:rsidRDefault="0064350F">
      <w:pPr>
        <w:spacing w:after="0" w:line="240" w:lineRule="auto"/>
      </w:pPr>
      <w:r>
        <w:separator/>
      </w:r>
    </w:p>
  </w:endnote>
  <w:endnote w:type="continuationSeparator" w:id="0">
    <w:p w:rsidR="0064350F" w:rsidRDefault="0064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0F" w:rsidRDefault="0064350F">
      <w:pPr>
        <w:spacing w:after="0" w:line="240" w:lineRule="auto"/>
      </w:pPr>
      <w:r>
        <w:separator/>
      </w:r>
    </w:p>
  </w:footnote>
  <w:footnote w:type="continuationSeparator" w:id="0">
    <w:p w:rsidR="0064350F" w:rsidRDefault="0064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 w:rsidR="00E15247">
      <w:rPr>
        <w:rFonts w:cs="Times New Roman"/>
        <w:b/>
      </w:rPr>
      <w:t>236</w:t>
    </w:r>
    <w:r w:rsidRPr="008322B3">
      <w:rPr>
        <w:rFonts w:cs="Times New Roman"/>
        <w:b/>
      </w:rPr>
      <w:t>/201</w:t>
    </w:r>
    <w:r w:rsidR="0016468A" w:rsidRPr="008322B3">
      <w:rPr>
        <w:rFonts w:cs="Times New Roman"/>
        <w:b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F16"/>
    <w:multiLevelType w:val="hybridMultilevel"/>
    <w:tmpl w:val="CA14E416"/>
    <w:lvl w:ilvl="0" w:tplc="2E84D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70F1763"/>
    <w:multiLevelType w:val="hybridMultilevel"/>
    <w:tmpl w:val="E79A9038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66DC4194"/>
    <w:multiLevelType w:val="hybridMultilevel"/>
    <w:tmpl w:val="5FA6D772"/>
    <w:lvl w:ilvl="0" w:tplc="C7848854">
      <w:start w:val="1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32EA7"/>
    <w:multiLevelType w:val="hybridMultilevel"/>
    <w:tmpl w:val="AC8C2692"/>
    <w:lvl w:ilvl="0" w:tplc="2E84D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23D1E"/>
    <w:rsid w:val="00067503"/>
    <w:rsid w:val="00124DAA"/>
    <w:rsid w:val="0016468A"/>
    <w:rsid w:val="0021429D"/>
    <w:rsid w:val="002C6AF3"/>
    <w:rsid w:val="004015CE"/>
    <w:rsid w:val="00475DEF"/>
    <w:rsid w:val="0048249A"/>
    <w:rsid w:val="004E715A"/>
    <w:rsid w:val="0064350F"/>
    <w:rsid w:val="006C13B9"/>
    <w:rsid w:val="007052EA"/>
    <w:rsid w:val="008322B3"/>
    <w:rsid w:val="00855616"/>
    <w:rsid w:val="00861FE1"/>
    <w:rsid w:val="00954C3D"/>
    <w:rsid w:val="009C2875"/>
    <w:rsid w:val="009C6FAC"/>
    <w:rsid w:val="00A667E4"/>
    <w:rsid w:val="00B81550"/>
    <w:rsid w:val="00BE7AC3"/>
    <w:rsid w:val="00C11A06"/>
    <w:rsid w:val="00C2439E"/>
    <w:rsid w:val="00C27B23"/>
    <w:rsid w:val="00CB75C1"/>
    <w:rsid w:val="00CC5807"/>
    <w:rsid w:val="00CD42AF"/>
    <w:rsid w:val="00D27496"/>
    <w:rsid w:val="00D42951"/>
    <w:rsid w:val="00D60839"/>
    <w:rsid w:val="00D65320"/>
    <w:rsid w:val="00D944B2"/>
    <w:rsid w:val="00DA3C5E"/>
    <w:rsid w:val="00DE2A75"/>
    <w:rsid w:val="00E107B8"/>
    <w:rsid w:val="00E15247"/>
    <w:rsid w:val="00E5453C"/>
    <w:rsid w:val="00E644BA"/>
    <w:rsid w:val="00F70448"/>
    <w:rsid w:val="00F715D3"/>
    <w:rsid w:val="00F76A9E"/>
    <w:rsid w:val="00FC7939"/>
    <w:rsid w:val="00FD2998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1429D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1429D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jc w:val="left"/>
    </w:pPr>
    <w:rPr>
      <w:rFonts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Paola, Marsigalia</cp:lastModifiedBy>
  <cp:revision>4</cp:revision>
  <cp:lastPrinted>2017-04-03T15:10:00Z</cp:lastPrinted>
  <dcterms:created xsi:type="dcterms:W3CDTF">2017-04-27T08:54:00Z</dcterms:created>
  <dcterms:modified xsi:type="dcterms:W3CDTF">2017-04-27T08:58:00Z</dcterms:modified>
</cp:coreProperties>
</file>